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9" w:rsidRDefault="00F57580">
      <w:pPr>
        <w:pBdr>
          <w:top w:val="nil"/>
          <w:left w:val="nil"/>
          <w:bottom w:val="nil"/>
          <w:right w:val="nil"/>
          <w:between w:val="nil"/>
        </w:pBdr>
        <w:rPr>
          <w:b/>
          <w:color w:val="1F497D"/>
          <w:sz w:val="40"/>
          <w:szCs w:val="40"/>
          <w:highlight w:val="white"/>
        </w:rPr>
      </w:pPr>
      <w:bookmarkStart w:id="0" w:name="_GoBack"/>
      <w:bookmarkEnd w:id="0"/>
      <w:r>
        <w:rPr>
          <w:b/>
          <w:color w:val="1F497D"/>
          <w:sz w:val="40"/>
          <w:szCs w:val="40"/>
          <w:highlight w:val="white"/>
        </w:rPr>
        <w:t>User Researcher / Senior User Researcher</w:t>
      </w:r>
    </w:p>
    <w:p w:rsidR="009704B9" w:rsidRDefault="009704B9">
      <w:pPr>
        <w:rPr>
          <w:rFonts w:ascii="Times New Roman" w:eastAsia="Times New Roman" w:hAnsi="Times New Roman" w:cs="Times New Roman"/>
          <w:b/>
        </w:rPr>
      </w:pPr>
    </w:p>
    <w:p w:rsidR="009704B9" w:rsidRDefault="00F57580">
      <w:pPr>
        <w:rPr>
          <w:b/>
        </w:rPr>
      </w:pPr>
      <w:r>
        <w:rPr>
          <w:b/>
        </w:rPr>
        <w:t>Ministry of Justice Digital and Technology Services</w:t>
      </w:r>
    </w:p>
    <w:p w:rsidR="009704B9" w:rsidRDefault="00F57580">
      <w:pPr>
        <w:shd w:val="clear" w:color="auto" w:fill="FFFFFF"/>
        <w:spacing w:before="80" w:after="460"/>
        <w:rPr>
          <w:color w:val="0B0C0C"/>
        </w:rPr>
      </w:pPr>
      <w:r>
        <w:rPr>
          <w:color w:val="0B0C0C"/>
        </w:rPr>
        <w:t>We design, build and support user-centred digital and technology services for the justice system: services that make a real difference to our staff, members of the public and their families who use them. Millions of people every year interact with our serv</w:t>
      </w:r>
      <w:r>
        <w:rPr>
          <w:color w:val="0B0C0C"/>
        </w:rPr>
        <w:t>ices, and Digital &amp; Technology play an important role in improving access to justice and making that experience much easier and less distressing.</w:t>
      </w:r>
    </w:p>
    <w:p w:rsidR="009704B9" w:rsidRDefault="00F57580">
      <w:pPr>
        <w:shd w:val="clear" w:color="auto" w:fill="FFFFFF"/>
        <w:spacing w:before="80" w:after="460"/>
      </w:pPr>
      <w:r>
        <w:rPr>
          <w:color w:val="0B0C0C"/>
        </w:rPr>
        <w:t>We are using digital, data and technology to build capability, work smarter and more efficiently. We want to c</w:t>
      </w:r>
      <w:r>
        <w:rPr>
          <w:color w:val="0B0C0C"/>
        </w:rPr>
        <w:t xml:space="preserve">reate a digitally enabled end-to-end justice system which can adapt and respond to changing needs. </w:t>
      </w:r>
      <w:r>
        <w:t>We were the first digital team in a government department, and the first to deliver an exemplar service, with experts in web development, design, delivery an</w:t>
      </w:r>
      <w:r>
        <w:t>d product management and user research, alongside around 50 organisations, including the courts service and Government Digital Service (GDS).</w:t>
      </w:r>
    </w:p>
    <w:p w:rsidR="009704B9" w:rsidRDefault="00F57580">
      <w:pPr>
        <w:shd w:val="clear" w:color="auto" w:fill="FFFFFF"/>
        <w:spacing w:before="80" w:after="460"/>
      </w:pPr>
      <w:r>
        <w:t>To find out more about us please visit our</w:t>
      </w:r>
      <w:hyperlink r:id="rId5">
        <w:r>
          <w:rPr>
            <w:color w:val="1155CC"/>
            <w:u w:val="single"/>
          </w:rPr>
          <w:t xml:space="preserve"> </w:t>
        </w:r>
        <w:r>
          <w:rPr>
            <w:color w:val="1155CC"/>
            <w:u w:val="single"/>
          </w:rPr>
          <w:t>blog.</w:t>
        </w:r>
      </w:hyperlink>
    </w:p>
    <w:p w:rsidR="009704B9" w:rsidRDefault="00F57580">
      <w:pPr>
        <w:rPr>
          <w:b/>
          <w:highlight w:val="white"/>
        </w:rPr>
      </w:pPr>
      <w:r>
        <w:rPr>
          <w:b/>
          <w:highlight w:val="white"/>
        </w:rPr>
        <w:t>THE ROLE</w:t>
      </w:r>
    </w:p>
    <w:p w:rsidR="009704B9" w:rsidRDefault="009704B9">
      <w:pPr>
        <w:rPr>
          <w:b/>
          <w:highlight w:val="white"/>
        </w:rPr>
      </w:pPr>
    </w:p>
    <w:p w:rsidR="009704B9" w:rsidRDefault="00F57580">
      <w:r>
        <w:t>We’re looking for talented and tenacious people to join our digital teams in London, Birmingham, Glasgow and Sheffield to take the lead in creating world-class services in the justice system. We use cutting-edge agile software development a</w:t>
      </w:r>
      <w:r>
        <w:t xml:space="preserve">pproaches to make rapid but meaningful improvements to public services that live up to the unique challenges of MOJ's responsibility to society. </w:t>
      </w:r>
    </w:p>
    <w:p w:rsidR="009704B9" w:rsidRDefault="009704B9">
      <w:pPr>
        <w:rPr>
          <w:rFonts w:ascii="Times New Roman" w:eastAsia="Times New Roman" w:hAnsi="Times New Roman" w:cs="Times New Roman"/>
          <w:b/>
          <w:highlight w:val="white"/>
        </w:rPr>
      </w:pPr>
    </w:p>
    <w:p w:rsidR="009704B9" w:rsidRDefault="00F57580">
      <w:r>
        <w:t>User researchers are key figures in the teams that design and deliver services. They help their teams develop</w:t>
      </w:r>
      <w:r>
        <w:t xml:space="preserve"> a deep understanding of the people ­- citizens, businesses or government colleagues -­ who use a service. Their findings enable teams to design and build better services quickly, at lower cost and risk, and to continuously improve services, based on data </w:t>
      </w:r>
      <w:r>
        <w:t xml:space="preserve">and evidence. </w:t>
      </w:r>
    </w:p>
    <w:p w:rsidR="009704B9" w:rsidRDefault="00F57580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4B9" w:rsidRDefault="00F57580">
      <w:r>
        <w:t xml:space="preserve">The successful candidate will have years of experience running user research as part of a user-centred design process and will have delivered products and services in </w:t>
      </w:r>
      <w:proofErr w:type="gramStart"/>
      <w:r>
        <w:t>Agile</w:t>
      </w:r>
      <w:proofErr w:type="gramEnd"/>
      <w:r>
        <w:t xml:space="preserve"> environments. The candidate will work with support and guidan</w:t>
      </w:r>
      <w:r>
        <w:t>ce from senior and lead user researchers.</w:t>
      </w:r>
    </w:p>
    <w:p w:rsidR="009704B9" w:rsidRDefault="009704B9"/>
    <w:p w:rsidR="009704B9" w:rsidRDefault="009704B9">
      <w:pPr>
        <w:rPr>
          <w:b/>
          <w:highlight w:val="white"/>
        </w:rPr>
      </w:pPr>
    </w:p>
    <w:p w:rsidR="009704B9" w:rsidRDefault="00F57580">
      <w:pPr>
        <w:rPr>
          <w:b/>
          <w:highlight w:val="white"/>
        </w:rPr>
      </w:pPr>
      <w:r>
        <w:rPr>
          <w:b/>
          <w:highlight w:val="white"/>
        </w:rPr>
        <w:t>MAIN RESPONSIBILITIES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Planning, designing and preparing a range of user research activities to support the design, development and continuous improvement of government services  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Carrying out user research activi</w:t>
      </w:r>
      <w:r>
        <w:t>ties from recruiting participants and preparing discussion guides, to moderating user test sessions  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lastRenderedPageBreak/>
        <w:t xml:space="preserve">Leading colleagues to analyse research data and synthesise clear and actionable findings, including working closely with analytics colleagues to create a </w:t>
      </w:r>
      <w:r>
        <w:t>rich picture of user behaviour  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Confidently explaining user needs to colleagues, and acting as a persuasive advocate for those needs both within the team and the organisation at large 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 xml:space="preserve">Shaping research to facilitate delivery at pace, with a commitment to </w:t>
      </w:r>
      <w:r>
        <w:t>agile and continuous iterative development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Working closely with product managers, designers and developers to turn user research findings into actions that lead to valuable products and services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Understanding and contributing to Assisted Digital service design and population sizing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>Completing literature reviews and other desk research to build and reinforce delivery teams’ understanding of their problem space and user group(s)</w:t>
      </w:r>
    </w:p>
    <w:p w:rsidR="009704B9" w:rsidRDefault="00F57580">
      <w:pPr>
        <w:numPr>
          <w:ilvl w:val="0"/>
          <w:numId w:val="4"/>
        </w:numPr>
        <w:tabs>
          <w:tab w:val="left" w:pos="220"/>
          <w:tab w:val="left" w:pos="720"/>
        </w:tabs>
        <w:contextualSpacing/>
      </w:pPr>
      <w:r>
        <w:t xml:space="preserve">Contributing to the </w:t>
      </w:r>
      <w:r>
        <w:t>wider user research community, including presenting at meetups and  writing blog posts.  </w:t>
      </w:r>
    </w:p>
    <w:p w:rsidR="009704B9" w:rsidRDefault="009704B9">
      <w:pPr>
        <w:rPr>
          <w:sz w:val="30"/>
          <w:szCs w:val="30"/>
        </w:rPr>
      </w:pP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</w:pPr>
    </w:p>
    <w:p w:rsidR="009704B9" w:rsidRDefault="00F575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b/>
          <w:highlight w:val="white"/>
        </w:rPr>
        <w:t>CAPABILITIES</w:t>
      </w: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704B9" w:rsidRDefault="00F57580">
      <w:r>
        <w:rPr>
          <w:b/>
        </w:rPr>
        <w:t>Essential</w:t>
      </w:r>
      <w:r>
        <w:rPr>
          <w:b/>
          <w:color w:val="0B0C0C"/>
          <w:highlight w:val="white"/>
        </w:rPr>
        <w:t xml:space="preserve"> skills and experience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 xml:space="preserve">Deep understanding and experience of using a range of user research methods - knowing when to use them and how to apply them correctly 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>The ability to understand the problem to be solved and design appropriate user research activities to inform decision-ma</w:t>
      </w:r>
      <w:r>
        <w:t xml:space="preserve">king and facilitate action 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>Ability to present research findings in compelling and innovative ways, making recommendations based on sound analysis</w:t>
      </w:r>
      <w:r>
        <w:rPr>
          <w:rFonts w:ascii="MS Gothic" w:eastAsia="MS Gothic" w:hAnsi="MS Gothic" w:cs="MS Gothic"/>
        </w:rPr>
        <w:t> 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 xml:space="preserve">Experience of applying a range of techniques for analysis of research data and </w:t>
      </w:r>
      <w:r>
        <w:rPr>
          <w:rFonts w:ascii="MS Gothic" w:eastAsia="MS Gothic" w:hAnsi="MS Gothic" w:cs="MS Gothic"/>
        </w:rPr>
        <w:t> </w:t>
      </w:r>
      <w:r>
        <w:t xml:space="preserve">synthesis of clear findings </w:t>
      </w:r>
      <w:r>
        <w:t xml:space="preserve">that colleagues can understand and use </w:t>
      </w:r>
      <w:r>
        <w:rPr>
          <w:rFonts w:ascii="MS Gothic" w:eastAsia="MS Gothic" w:hAnsi="MS Gothic" w:cs="MS Gothic"/>
        </w:rPr>
        <w:t> 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 xml:space="preserve">The ability to include many kinds of users in appropriate research activities </w:t>
      </w:r>
      <w:r>
        <w:rPr>
          <w:rFonts w:ascii="MS Gothic" w:eastAsia="MS Gothic" w:hAnsi="MS Gothic" w:cs="MS Gothic"/>
        </w:rPr>
        <w:t> 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contextualSpacing/>
      </w:pPr>
      <w:r>
        <w:t>Experience of working with colleagues to plan and do continuous user research in a multidisciplinary team  </w:t>
      </w:r>
    </w:p>
    <w:p w:rsidR="009704B9" w:rsidRDefault="00F57580">
      <w:pPr>
        <w:numPr>
          <w:ilvl w:val="0"/>
          <w:numId w:val="3"/>
        </w:numPr>
        <w:tabs>
          <w:tab w:val="left" w:pos="220"/>
          <w:tab w:val="left" w:pos="720"/>
        </w:tabs>
        <w:spacing w:after="240"/>
        <w:contextualSpacing/>
      </w:pPr>
      <w:r>
        <w:t>Understanding of agile appr</w:t>
      </w:r>
      <w:r>
        <w:t>oaches and experience of working in agile teams  </w:t>
      </w:r>
    </w:p>
    <w:p w:rsidR="009704B9" w:rsidRDefault="00F57580">
      <w:pPr>
        <w:numPr>
          <w:ilvl w:val="0"/>
          <w:numId w:val="3"/>
        </w:numPr>
        <w:spacing w:line="240" w:lineRule="auto"/>
        <w:contextualSpacing/>
      </w:pPr>
      <w:r>
        <w:t>Degree in Human-Computer Interaction, Human Factors, Cognitive Psychology, Sociology, Anthropology, or related field</w:t>
      </w:r>
    </w:p>
    <w:p w:rsidR="009704B9" w:rsidRDefault="009704B9">
      <w:pPr>
        <w:spacing w:line="360" w:lineRule="auto"/>
        <w:ind w:left="720"/>
        <w:rPr>
          <w:b/>
        </w:rPr>
      </w:pP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  <w:rPr>
          <w:b/>
          <w:color w:val="0B0C0C"/>
          <w:highlight w:val="white"/>
        </w:rPr>
      </w:pPr>
    </w:p>
    <w:p w:rsidR="009704B9" w:rsidRDefault="00F57580">
      <w:p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As a senior user researcher, in addition to the above, you’ll also have:</w:t>
      </w:r>
    </w:p>
    <w:p w:rsidR="009704B9" w:rsidRDefault="00F57580">
      <w:pPr>
        <w:numPr>
          <w:ilvl w:val="0"/>
          <w:numId w:val="1"/>
        </w:numPr>
        <w:tabs>
          <w:tab w:val="left" w:pos="220"/>
          <w:tab w:val="left" w:pos="720"/>
        </w:tabs>
        <w:contextualSpacing/>
        <w:rPr>
          <w:rFonts w:ascii="Noto Sans Symbols" w:eastAsia="Noto Sans Symbols" w:hAnsi="Noto Sans Symbols" w:cs="Noto Sans Symbols"/>
        </w:rPr>
      </w:pPr>
      <w:r>
        <w:t>Experience of helping teams adopt user-centred service design and delivery practices and embedding them into their workflows</w:t>
      </w:r>
    </w:p>
    <w:p w:rsidR="009704B9" w:rsidRDefault="00F57580">
      <w:pPr>
        <w:numPr>
          <w:ilvl w:val="0"/>
          <w:numId w:val="1"/>
        </w:numPr>
        <w:tabs>
          <w:tab w:val="left" w:pos="220"/>
          <w:tab w:val="left" w:pos="720"/>
        </w:tabs>
        <w:contextualSpacing/>
        <w:rPr>
          <w:rFonts w:ascii="Noto Sans Symbols" w:eastAsia="Noto Sans Symbols" w:hAnsi="Noto Sans Symbols" w:cs="Noto Sans Symbols"/>
        </w:rPr>
      </w:pPr>
      <w:r>
        <w:t>Experience of advocating for user research and engaging sceptical colleagues and stakeholders</w:t>
      </w:r>
    </w:p>
    <w:p w:rsidR="009704B9" w:rsidRDefault="00F57580">
      <w:pPr>
        <w:numPr>
          <w:ilvl w:val="0"/>
          <w:numId w:val="1"/>
        </w:numPr>
        <w:tabs>
          <w:tab w:val="left" w:pos="220"/>
          <w:tab w:val="left" w:pos="720"/>
        </w:tabs>
        <w:contextualSpacing/>
        <w:rPr>
          <w:rFonts w:ascii="Noto Sans Symbols" w:eastAsia="Noto Sans Symbols" w:hAnsi="Noto Sans Symbols" w:cs="Noto Sans Symbols"/>
        </w:rPr>
      </w:pPr>
      <w:r>
        <w:t>Proven experience of guiding colleagu</w:t>
      </w:r>
      <w:r>
        <w:t>es in the choice and effective application of research methods</w:t>
      </w:r>
    </w:p>
    <w:p w:rsidR="009704B9" w:rsidRDefault="00F57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Expertise in identifying and using appropriate analysis and synthesis techniques</w:t>
      </w: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9704B9" w:rsidRDefault="00F575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Desirable skills and experience</w:t>
      </w:r>
    </w:p>
    <w:p w:rsidR="009704B9" w:rsidRDefault="00F57580">
      <w:pPr>
        <w:numPr>
          <w:ilvl w:val="0"/>
          <w:numId w:val="2"/>
        </w:numPr>
        <w:spacing w:line="360" w:lineRule="auto"/>
        <w:contextualSpacing/>
      </w:pPr>
      <w:r>
        <w:lastRenderedPageBreak/>
        <w:t>Knowledge of the technologies used to build and operate digital services, and the ability to work closely with colleagues in technical roles and constructively challenge technical constraints</w:t>
      </w:r>
    </w:p>
    <w:p w:rsidR="009704B9" w:rsidRDefault="00F57580">
      <w:pPr>
        <w:numPr>
          <w:ilvl w:val="0"/>
          <w:numId w:val="2"/>
        </w:numPr>
        <w:spacing w:line="360" w:lineRule="auto"/>
        <w:contextualSpacing/>
      </w:pPr>
      <w:r>
        <w:t>Experience of user research for the development of government se</w:t>
      </w:r>
      <w:r>
        <w:t>rvices</w:t>
      </w:r>
    </w:p>
    <w:p w:rsidR="009704B9" w:rsidRDefault="00F57580">
      <w:pPr>
        <w:numPr>
          <w:ilvl w:val="0"/>
          <w:numId w:val="2"/>
        </w:numPr>
        <w:spacing w:line="360" w:lineRule="auto"/>
        <w:contextualSpacing/>
      </w:pPr>
      <w:r>
        <w:t>Good understanding and experience of working to the Government Service Standards</w:t>
      </w:r>
    </w:p>
    <w:p w:rsidR="009704B9" w:rsidRDefault="009704B9">
      <w:pPr>
        <w:spacing w:line="360" w:lineRule="auto"/>
        <w:ind w:left="720"/>
      </w:pP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9704B9" w:rsidRDefault="00F5758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COMPETENCIES</w:t>
      </w:r>
    </w:p>
    <w:p w:rsidR="009704B9" w:rsidRDefault="009704B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704B9" w:rsidRDefault="00F5758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 Civil Service we use our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Competency Framework</w:t>
        </w:r>
      </w:hyperlink>
      <w:r>
        <w:rPr>
          <w:rFonts w:ascii="Calibri" w:eastAsia="Calibri" w:hAnsi="Calibri" w:cs="Calibri"/>
          <w:sz w:val="24"/>
          <w:szCs w:val="24"/>
        </w:rPr>
        <w:t xml:space="preserve"> to outline expected behaviours and we will use these as part of our wider assessment during the interview process. </w:t>
      </w:r>
    </w:p>
    <w:p w:rsidR="009704B9" w:rsidRDefault="009704B9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704B9" w:rsidRDefault="00F57580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For this role, the following competencies are the most relevant:</w:t>
      </w:r>
    </w:p>
    <w:p w:rsidR="009704B9" w:rsidRDefault="009704B9">
      <w:pPr>
        <w:widowControl w:val="0"/>
        <w:spacing w:line="240" w:lineRule="auto"/>
        <w:jc w:val="both"/>
        <w:rPr>
          <w:rFonts w:ascii="Helvetica Neue" w:eastAsia="Helvetica Neue" w:hAnsi="Helvetica Neue" w:cs="Helvetica Neue"/>
        </w:rPr>
      </w:pPr>
    </w:p>
    <w:p w:rsidR="009704B9" w:rsidRDefault="009704B9">
      <w:pPr>
        <w:shd w:val="clear" w:color="auto" w:fill="FFFFFF"/>
        <w:spacing w:line="310" w:lineRule="auto"/>
        <w:jc w:val="both"/>
      </w:pPr>
    </w:p>
    <w:p w:rsidR="009704B9" w:rsidRDefault="00F57580">
      <w:pPr>
        <w:numPr>
          <w:ilvl w:val="0"/>
          <w:numId w:val="5"/>
        </w:numPr>
      </w:pPr>
      <w:r>
        <w:t>Seeing the bigger picture</w:t>
      </w:r>
    </w:p>
    <w:p w:rsidR="009704B9" w:rsidRDefault="00F57580">
      <w:pPr>
        <w:numPr>
          <w:ilvl w:val="0"/>
          <w:numId w:val="5"/>
        </w:numPr>
      </w:pPr>
      <w:r>
        <w:t>Collaborating and partnering</w:t>
      </w:r>
    </w:p>
    <w:p w:rsidR="009704B9" w:rsidRDefault="00F57580">
      <w:pPr>
        <w:numPr>
          <w:ilvl w:val="0"/>
          <w:numId w:val="5"/>
        </w:numPr>
      </w:pPr>
      <w:r>
        <w:t>Making effective</w:t>
      </w:r>
      <w:r>
        <w:t xml:space="preserve"> decisions</w:t>
      </w:r>
    </w:p>
    <w:p w:rsidR="009704B9" w:rsidRDefault="00F57580">
      <w:pPr>
        <w:numPr>
          <w:ilvl w:val="0"/>
          <w:numId w:val="5"/>
        </w:numPr>
      </w:pPr>
      <w:r>
        <w:t>Delivering at pace</w:t>
      </w:r>
    </w:p>
    <w:p w:rsidR="009704B9" w:rsidRDefault="00F57580">
      <w:pPr>
        <w:numPr>
          <w:ilvl w:val="0"/>
          <w:numId w:val="5"/>
        </w:numPr>
      </w:pPr>
      <w:r>
        <w:t>Changing and improving</w:t>
      </w:r>
    </w:p>
    <w:p w:rsidR="009704B9" w:rsidRDefault="00F57580">
      <w:pPr>
        <w:numPr>
          <w:ilvl w:val="0"/>
          <w:numId w:val="5"/>
        </w:numPr>
      </w:pPr>
      <w:r>
        <w:t>Leading and communicating</w:t>
      </w:r>
    </w:p>
    <w:p w:rsidR="009704B9" w:rsidRDefault="00F57580">
      <w:pPr>
        <w:numPr>
          <w:ilvl w:val="0"/>
          <w:numId w:val="5"/>
        </w:numPr>
      </w:pPr>
      <w:r>
        <w:t>Building capability for all</w:t>
      </w:r>
    </w:p>
    <w:p w:rsidR="009704B9" w:rsidRDefault="00F57580">
      <w:pPr>
        <w:shd w:val="clear" w:color="auto" w:fill="FFFFFF"/>
        <w:spacing w:line="310" w:lineRule="auto"/>
        <w:jc w:val="both"/>
      </w:pPr>
      <w:r>
        <w:t xml:space="preserve"> </w:t>
      </w:r>
    </w:p>
    <w:p w:rsidR="009704B9" w:rsidRDefault="009704B9">
      <w:bookmarkStart w:id="1" w:name="_gjdgxs" w:colFirst="0" w:colLast="0"/>
      <w:bookmarkEnd w:id="1"/>
    </w:p>
    <w:sectPr w:rsidR="009704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438"/>
    <w:multiLevelType w:val="multilevel"/>
    <w:tmpl w:val="B0A08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93298"/>
    <w:multiLevelType w:val="multilevel"/>
    <w:tmpl w:val="449C7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962C32"/>
    <w:multiLevelType w:val="multilevel"/>
    <w:tmpl w:val="4DB0B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D6200"/>
    <w:multiLevelType w:val="multilevel"/>
    <w:tmpl w:val="C7FA3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943AB0"/>
    <w:multiLevelType w:val="multilevel"/>
    <w:tmpl w:val="65ACF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9"/>
    <w:rsid w:val="009704B9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F60DA-3331-4276-97E9-C0F05433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ivil-service-competency-framework" TargetMode="External"/><Relationship Id="rId5" Type="http://schemas.openxmlformats.org/officeDocument/2006/relationships/hyperlink" Target="https://mojdigital.blog.gov.uk/category/intrane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REFBUILD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Williams</dc:creator>
  <cp:lastModifiedBy>Angela Williams </cp:lastModifiedBy>
  <cp:revision>2</cp:revision>
  <dcterms:created xsi:type="dcterms:W3CDTF">2018-10-30T07:54:00Z</dcterms:created>
  <dcterms:modified xsi:type="dcterms:W3CDTF">2018-10-30T07:54:00Z</dcterms:modified>
</cp:coreProperties>
</file>