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EA" w:rsidRDefault="00224A1B">
      <w:pPr>
        <w:spacing w:after="259"/>
        <w:ind w:left="882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FF5AEA" w:rsidRDefault="00224A1B">
      <w:pPr>
        <w:spacing w:after="252"/>
      </w:pPr>
      <w:r>
        <w:rPr>
          <w:rFonts w:ascii="Arial" w:eastAsia="Arial" w:hAnsi="Arial" w:cs="Arial"/>
        </w:rPr>
        <w:t xml:space="preserve"> </w:t>
      </w:r>
    </w:p>
    <w:p w:rsidR="00FF5AEA" w:rsidRDefault="00224A1B">
      <w:pPr>
        <w:spacing w:after="213"/>
      </w:pPr>
      <w:r>
        <w:rPr>
          <w:noProof/>
        </w:rPr>
        <w:drawing>
          <wp:inline distT="0" distB="0" distL="0" distR="0">
            <wp:extent cx="3104515" cy="122174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FF5AEA" w:rsidRDefault="00224A1B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FF5AEA" w:rsidRDefault="00224A1B">
      <w:pPr>
        <w:spacing w:after="466"/>
      </w:pPr>
      <w:r>
        <w:rPr>
          <w:rFonts w:ascii="Arial" w:eastAsia="Arial" w:hAnsi="Arial" w:cs="Arial"/>
        </w:rPr>
        <w:t xml:space="preserve"> </w:t>
      </w:r>
    </w:p>
    <w:p w:rsidR="00FF5AEA" w:rsidRDefault="00224A1B">
      <w:pPr>
        <w:spacing w:after="242"/>
        <w:ind w:left="943"/>
        <w:jc w:val="center"/>
      </w:pPr>
      <w:r>
        <w:rPr>
          <w:rFonts w:ascii="Arial" w:eastAsia="Arial" w:hAnsi="Arial" w:cs="Arial"/>
          <w:b/>
          <w:sz w:val="44"/>
        </w:rPr>
        <w:t xml:space="preserve"> </w:t>
      </w:r>
    </w:p>
    <w:p w:rsidR="00FF5AEA" w:rsidRDefault="00224A1B">
      <w:pPr>
        <w:spacing w:after="239"/>
        <w:ind w:left="1546" w:right="721" w:hanging="10"/>
        <w:jc w:val="center"/>
      </w:pPr>
      <w:r>
        <w:rPr>
          <w:rFonts w:ascii="Arial" w:eastAsia="Arial" w:hAnsi="Arial" w:cs="Arial"/>
          <w:b/>
          <w:sz w:val="44"/>
        </w:rPr>
        <w:t xml:space="preserve">Job Description (JD)  </w:t>
      </w:r>
    </w:p>
    <w:p w:rsidR="00FF5AEA" w:rsidRDefault="00224A1B">
      <w:pPr>
        <w:spacing w:after="242"/>
        <w:ind w:left="1546" w:right="719" w:hanging="10"/>
        <w:jc w:val="center"/>
      </w:pPr>
      <w:r>
        <w:rPr>
          <w:rFonts w:ascii="Arial" w:eastAsia="Arial" w:hAnsi="Arial" w:cs="Arial"/>
          <w:b/>
          <w:sz w:val="44"/>
        </w:rPr>
        <w:t xml:space="preserve">Band 2 </w:t>
      </w:r>
    </w:p>
    <w:p w:rsidR="00FF5AEA" w:rsidRDefault="00224A1B">
      <w:pPr>
        <w:spacing w:after="0"/>
        <w:ind w:left="1546" w:hanging="10"/>
        <w:jc w:val="center"/>
      </w:pPr>
      <w:r>
        <w:rPr>
          <w:rFonts w:ascii="Arial" w:eastAsia="Arial" w:hAnsi="Arial" w:cs="Arial"/>
          <w:b/>
          <w:sz w:val="44"/>
        </w:rPr>
        <w:t xml:space="preserve">Group Profile – Support Services </w:t>
      </w:r>
    </w:p>
    <w:p w:rsidR="00FF5AEA" w:rsidRDefault="00224A1B">
      <w:pPr>
        <w:spacing w:after="244"/>
        <w:ind w:right="2214"/>
        <w:jc w:val="right"/>
      </w:pPr>
      <w:r>
        <w:rPr>
          <w:rFonts w:ascii="Arial" w:eastAsia="Arial" w:hAnsi="Arial" w:cs="Arial"/>
          <w:b/>
          <w:sz w:val="44"/>
        </w:rPr>
        <w:t xml:space="preserve">Administration (SSA)                                </w:t>
      </w:r>
    </w:p>
    <w:p w:rsidR="00FF5AEA" w:rsidRDefault="00224A1B">
      <w:pPr>
        <w:spacing w:after="0"/>
        <w:ind w:left="1546" w:right="-3" w:hanging="10"/>
        <w:jc w:val="center"/>
      </w:pPr>
      <w:r>
        <w:rPr>
          <w:rFonts w:ascii="Arial" w:eastAsia="Arial" w:hAnsi="Arial" w:cs="Arial"/>
          <w:b/>
          <w:sz w:val="44"/>
        </w:rPr>
        <w:t xml:space="preserve">Job Description – SSA : Visits Booking </w:t>
      </w:r>
    </w:p>
    <w:tbl>
      <w:tblPr>
        <w:tblStyle w:val="TableGrid"/>
        <w:tblW w:w="77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4182"/>
      </w:tblGrid>
      <w:tr w:rsidR="00FF5AEA">
        <w:trPr>
          <w:trHeight w:val="41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FF5AEA"/>
        </w:tc>
      </w:tr>
      <w:tr w:rsidR="00FF5AEA">
        <w:trPr>
          <w:trHeight w:val="482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AEA" w:rsidRDefault="00224A1B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 Ref.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OR-JES-153-JD-B2 : SSA : Visits Booking </w:t>
            </w:r>
          </w:p>
        </w:tc>
      </w:tr>
      <w:tr w:rsidR="00FF5AEA">
        <w:trPr>
          <w:trHeight w:val="31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 Type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Management </w:t>
            </w:r>
          </w:p>
        </w:tc>
      </w:tr>
      <w:tr w:rsidR="00FF5AEA">
        <w:trPr>
          <w:trHeight w:val="31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ind w:left="956"/>
            </w:pPr>
            <w:r>
              <w:rPr>
                <w:rFonts w:ascii="Arial" w:eastAsia="Arial" w:hAnsi="Arial" w:cs="Arial"/>
                <w:b/>
              </w:rPr>
              <w:t xml:space="preserve">Version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</w:pPr>
            <w:r>
              <w:rPr>
                <w:rFonts w:ascii="Arial" w:eastAsia="Arial" w:hAnsi="Arial" w:cs="Arial"/>
              </w:rPr>
              <w:t xml:space="preserve">5.0 </w:t>
            </w:r>
          </w:p>
        </w:tc>
      </w:tr>
      <w:tr w:rsidR="00FF5AEA">
        <w:trPr>
          <w:trHeight w:val="313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ind w:right="20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Classification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</w:pPr>
            <w:r>
              <w:rPr>
                <w:rFonts w:ascii="Arial" w:eastAsia="Arial" w:hAnsi="Arial" w:cs="Arial"/>
              </w:rPr>
              <w:t xml:space="preserve">Unclassified </w:t>
            </w:r>
          </w:p>
        </w:tc>
      </w:tr>
      <w:tr w:rsidR="00FF5AEA">
        <w:trPr>
          <w:trHeight w:val="314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ind w:right="2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of Issue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</w:pPr>
            <w:r>
              <w:rPr>
                <w:rFonts w:ascii="Arial" w:eastAsia="Arial" w:hAnsi="Arial" w:cs="Arial"/>
              </w:rPr>
              <w:t xml:space="preserve">20/03/15 </w:t>
            </w:r>
          </w:p>
        </w:tc>
      </w:tr>
      <w:tr w:rsidR="00FF5AEA">
        <w:trPr>
          <w:trHeight w:val="28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ind w:left="956"/>
            </w:pPr>
            <w:r>
              <w:rPr>
                <w:rFonts w:ascii="Arial" w:eastAsia="Arial" w:hAnsi="Arial" w:cs="Arial"/>
                <w:b/>
              </w:rPr>
              <w:t xml:space="preserve">Status 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5AEA" w:rsidRDefault="00224A1B">
            <w:pPr>
              <w:spacing w:after="0"/>
              <w:ind w:left="12"/>
            </w:pPr>
            <w:proofErr w:type="spellStart"/>
            <w:r>
              <w:rPr>
                <w:rFonts w:ascii="Arial" w:eastAsia="Arial" w:hAnsi="Arial" w:cs="Arial"/>
              </w:rPr>
              <w:t>Baselined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F5AEA" w:rsidRDefault="00224A1B">
      <w:pPr>
        <w:tabs>
          <w:tab w:val="center" w:pos="1623"/>
          <w:tab w:val="center" w:pos="5778"/>
        </w:tabs>
        <w:spacing w:after="46"/>
      </w:pPr>
      <w:r>
        <w:tab/>
      </w:r>
      <w:r>
        <w:rPr>
          <w:rFonts w:ascii="Arial" w:eastAsia="Arial" w:hAnsi="Arial" w:cs="Arial"/>
          <w:b/>
        </w:rPr>
        <w:t xml:space="preserve">Produced by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Job Evaluation Assurance and Support Team </w:t>
      </w:r>
    </w:p>
    <w:p w:rsidR="00FF5AEA" w:rsidRDefault="00224A1B">
      <w:pPr>
        <w:spacing w:after="263" w:line="300" w:lineRule="auto"/>
        <w:ind w:left="956" w:right="4381"/>
      </w:pPr>
      <w:r>
        <w:rPr>
          <w:rFonts w:ascii="Arial" w:eastAsia="Arial" w:hAnsi="Arial" w:cs="Arial"/>
          <w:b/>
        </w:rPr>
        <w:t xml:space="preserve">Authorised by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Reward Team </w:t>
      </w:r>
      <w:r>
        <w:rPr>
          <w:rFonts w:ascii="Arial" w:eastAsia="Arial" w:hAnsi="Arial" w:cs="Arial"/>
          <w:b/>
        </w:rPr>
        <w:t xml:space="preserve">JD Evidence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:rsidR="00FF5AEA" w:rsidRDefault="00224A1B">
      <w:pPr>
        <w:spacing w:after="0"/>
      </w:pPr>
      <w:r>
        <w:rPr>
          <w:rFonts w:ascii="Arial" w:eastAsia="Arial" w:hAnsi="Arial" w:cs="Arial"/>
          <w:b/>
          <w:sz w:val="56"/>
        </w:rPr>
        <w:t xml:space="preserve"> </w:t>
      </w:r>
    </w:p>
    <w:p w:rsidR="00FF5AEA" w:rsidRDefault="00224A1B">
      <w:pPr>
        <w:spacing w:after="245"/>
      </w:pPr>
      <w:r>
        <w:rPr>
          <w:b/>
          <w:sz w:val="36"/>
        </w:rPr>
        <w:t xml:space="preserve"> </w:t>
      </w:r>
    </w:p>
    <w:p w:rsidR="00FF5AEA" w:rsidRDefault="00224A1B">
      <w:pPr>
        <w:pStyle w:val="Heading1"/>
      </w:pPr>
      <w:r>
        <w:t xml:space="preserve">Job Description  </w:t>
      </w:r>
    </w:p>
    <w:tbl>
      <w:tblPr>
        <w:tblStyle w:val="TableGrid"/>
        <w:tblW w:w="9458" w:type="dxa"/>
        <w:tblInd w:w="516" w:type="dxa"/>
        <w:tblCellMar>
          <w:top w:w="5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FF5AEA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Job Title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SSA :  </w:t>
            </w:r>
            <w:r>
              <w:rPr>
                <w:sz w:val="20"/>
              </w:rPr>
              <w:t xml:space="preserve">Visits Booking  </w:t>
            </w:r>
          </w:p>
        </w:tc>
      </w:tr>
      <w:tr w:rsidR="00FF5AEA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Group Profile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Support Services Administration  </w:t>
            </w:r>
          </w:p>
        </w:tc>
      </w:tr>
      <w:tr w:rsidR="00FF5AEA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Organisation Level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Support </w:t>
            </w:r>
          </w:p>
        </w:tc>
      </w:tr>
      <w:tr w:rsidR="00FF5AEA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2 </w:t>
            </w:r>
          </w:p>
        </w:tc>
      </w:tr>
    </w:tbl>
    <w:p w:rsidR="00FF5AEA" w:rsidRDefault="00224A1B">
      <w:pPr>
        <w:spacing w:after="34"/>
      </w:pPr>
      <w:r>
        <w:rPr>
          <w:sz w:val="20"/>
        </w:rPr>
        <w:t xml:space="preserve"> </w:t>
      </w:r>
    </w:p>
    <w:tbl>
      <w:tblPr>
        <w:tblStyle w:val="TableGrid"/>
        <w:tblW w:w="9408" w:type="dxa"/>
        <w:tblInd w:w="540" w:type="dxa"/>
        <w:tblCellMar>
          <w:top w:w="5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FF5AEA">
        <w:trPr>
          <w:trHeight w:val="723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  <w:ind w:left="2"/>
            </w:pPr>
            <w:r>
              <w:rPr>
                <w:b/>
                <w:sz w:val="20"/>
              </w:rPr>
              <w:t xml:space="preserve">Overview of the job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This is an administrative job in an establishment. </w:t>
            </w:r>
          </w:p>
        </w:tc>
      </w:tr>
      <w:tr w:rsidR="00FF5AEA">
        <w:trPr>
          <w:trHeight w:val="1286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  <w:ind w:left="2"/>
            </w:pPr>
            <w:r>
              <w:rPr>
                <w:b/>
                <w:sz w:val="20"/>
              </w:rPr>
              <w:t xml:space="preserve">Summary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278" w:line="242" w:lineRule="auto"/>
              <w:ind w:right="51"/>
              <w:jc w:val="both"/>
            </w:pPr>
            <w:r>
              <w:rPr>
                <w:sz w:val="20"/>
              </w:rPr>
              <w:t xml:space="preserve">The job holder will process all visits applications and bookings in a timely and professional manner maximising the number of visits booked per session so that all prisoners are able to use their allocation of Visiting Orders.   </w:t>
            </w:r>
          </w:p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This is a </w:t>
            </w:r>
            <w:proofErr w:type="spellStart"/>
            <w:r>
              <w:rPr>
                <w:sz w:val="20"/>
              </w:rPr>
              <w:t xml:space="preserve">non </w:t>
            </w:r>
            <w:r>
              <w:rPr>
                <w:sz w:val="20"/>
              </w:rPr>
              <w:t>operational</w:t>
            </w:r>
            <w:proofErr w:type="spellEnd"/>
            <w:r>
              <w:rPr>
                <w:sz w:val="20"/>
              </w:rPr>
              <w:t xml:space="preserve"> job with no line management responsibilities. </w:t>
            </w:r>
          </w:p>
        </w:tc>
      </w:tr>
      <w:tr w:rsidR="00FF5AEA">
        <w:trPr>
          <w:trHeight w:val="8591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  <w:ind w:left="2"/>
            </w:pPr>
            <w:r>
              <w:rPr>
                <w:b/>
                <w:sz w:val="20"/>
              </w:rPr>
              <w:t xml:space="preserve">Responsibilities, </w:t>
            </w:r>
          </w:p>
          <w:p w:rsidR="00FF5AEA" w:rsidRDefault="00224A1B">
            <w:pPr>
              <w:spacing w:after="0"/>
              <w:ind w:left="2"/>
            </w:pPr>
            <w:r>
              <w:rPr>
                <w:b/>
                <w:sz w:val="20"/>
              </w:rPr>
              <w:t xml:space="preserve">Activities and Duties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321" w:line="242" w:lineRule="auto"/>
              <w:jc w:val="both"/>
            </w:pPr>
            <w:r>
              <w:rPr>
                <w:sz w:val="20"/>
              </w:rPr>
              <w:t xml:space="preserve">The job holder will be required to carry out the following responsibilities, activities and duties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44" w:line="241" w:lineRule="auto"/>
              <w:ind w:hanging="187"/>
              <w:jc w:val="both"/>
            </w:pPr>
            <w:r>
              <w:rPr>
                <w:sz w:val="20"/>
              </w:rPr>
              <w:t>Be the first point of contact for families/friends of</w:t>
            </w:r>
            <w:r>
              <w:rPr>
                <w:sz w:val="20"/>
              </w:rPr>
              <w:t xml:space="preserve"> prisoners and official visitors including solicitors, Police, Probation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 and responsible for informing them of all visiting procedures for the establishment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44" w:line="241" w:lineRule="auto"/>
              <w:ind w:hanging="187"/>
              <w:jc w:val="both"/>
            </w:pPr>
            <w:r>
              <w:rPr>
                <w:sz w:val="20"/>
              </w:rPr>
              <w:t>Receive telephone calls and e-mails from visitors booking a time/date to visit, allowing the v</w:t>
            </w:r>
            <w:r>
              <w:rPr>
                <w:sz w:val="20"/>
              </w:rPr>
              <w:t xml:space="preserve">isit to be entered onto the booking system, sending out visiting orders and ensuring these are valid at the time of booking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45" w:line="239" w:lineRule="auto"/>
              <w:ind w:hanging="187"/>
              <w:jc w:val="both"/>
            </w:pPr>
            <w:r>
              <w:rPr>
                <w:sz w:val="20"/>
              </w:rPr>
              <w:t xml:space="preserve">Produce and distribute visits lists in advance of all sessions and Safeguarding  lists for visits, switchboard and visits centre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43" w:line="239" w:lineRule="auto"/>
              <w:ind w:hanging="187"/>
              <w:jc w:val="both"/>
            </w:pPr>
            <w:r>
              <w:rPr>
                <w:sz w:val="20"/>
              </w:rPr>
              <w:t xml:space="preserve">Ensure that public protection and security information is kept up to date and relevant on the booking system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44" w:line="241" w:lineRule="auto"/>
              <w:ind w:hanging="187"/>
              <w:jc w:val="both"/>
            </w:pPr>
            <w:r>
              <w:rPr>
                <w:sz w:val="20"/>
              </w:rPr>
              <w:t>Monitor for any alerts identified for prisoners and their visitors to ensure safety of all concerned and raise issues around underage visitors Inf</w:t>
            </w:r>
            <w:r>
              <w:rPr>
                <w:sz w:val="20"/>
              </w:rPr>
              <w:t xml:space="preserve">orming security of any issues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45" w:line="239" w:lineRule="auto"/>
              <w:ind w:hanging="187"/>
              <w:jc w:val="both"/>
            </w:pPr>
            <w:r>
              <w:rPr>
                <w:sz w:val="20"/>
              </w:rPr>
              <w:t xml:space="preserve">Undertake initial work to arrange visits for disabled visitors and special circumstance visits e.g. bereavement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280" w:line="240" w:lineRule="auto"/>
              <w:ind w:hanging="187"/>
              <w:jc w:val="both"/>
            </w:pPr>
            <w:r>
              <w:rPr>
                <w:sz w:val="20"/>
              </w:rPr>
              <w:t xml:space="preserve">Provide information to outside agencies when requested, such as assisted prison visits scheme </w:t>
            </w:r>
          </w:p>
          <w:p w:rsidR="00FF5AEA" w:rsidRDefault="00224A1B">
            <w:pPr>
              <w:spacing w:after="306"/>
              <w:ind w:left="65"/>
            </w:pPr>
            <w:r>
              <w:rPr>
                <w:sz w:val="20"/>
              </w:rPr>
              <w:t>Undertake other a</w:t>
            </w:r>
            <w:r>
              <w:rPr>
                <w:sz w:val="20"/>
              </w:rPr>
              <w:t xml:space="preserve">dministrative tasks including: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0"/>
              <w:ind w:hanging="187"/>
              <w:jc w:val="both"/>
            </w:pPr>
            <w:r>
              <w:rPr>
                <w:sz w:val="20"/>
              </w:rPr>
              <w:t xml:space="preserve">Provide administrational assistance in area of work 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0"/>
              <w:ind w:hanging="187"/>
              <w:jc w:val="both"/>
            </w:pPr>
            <w:r>
              <w:rPr>
                <w:sz w:val="20"/>
              </w:rPr>
              <w:t xml:space="preserve">Maintain accurate filing system for area of work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0"/>
              <w:ind w:hanging="187"/>
              <w:jc w:val="both"/>
            </w:pPr>
            <w:r>
              <w:rPr>
                <w:sz w:val="20"/>
              </w:rPr>
              <w:t xml:space="preserve">Respond to queries relating to area of work, redirecting where required </w:t>
            </w:r>
          </w:p>
          <w:p w:rsidR="00FF5AEA" w:rsidRDefault="00224A1B">
            <w:pPr>
              <w:numPr>
                <w:ilvl w:val="0"/>
                <w:numId w:val="1"/>
              </w:numPr>
              <w:spacing w:after="278" w:line="242" w:lineRule="auto"/>
              <w:ind w:hanging="187"/>
              <w:jc w:val="both"/>
            </w:pPr>
            <w:r>
              <w:rPr>
                <w:sz w:val="20"/>
              </w:rPr>
              <w:t>Operate the switchboard appropriately by Identi</w:t>
            </w:r>
            <w:r>
              <w:rPr>
                <w:sz w:val="20"/>
              </w:rPr>
              <w:t xml:space="preserve">fying  the callers needs ensuring all messages are communicated to the appropriate parties  </w:t>
            </w:r>
          </w:p>
          <w:p w:rsidR="00FF5AEA" w:rsidRDefault="00224A1B">
            <w:pPr>
              <w:spacing w:after="0"/>
            </w:pPr>
            <w:r>
              <w:rPr>
                <w:sz w:val="20"/>
              </w:rPr>
              <w:t xml:space="preserve">The duties/responsibilities listed above describe the </w:t>
            </w:r>
            <w:r>
              <w:rPr>
                <w:sz w:val="20"/>
              </w:rPr>
              <w:t>post as it is at present and is not intended to be exhaustive. The Job holder is expected to accept reasonable alterations and additional tasks of a similar level that may be necessary. Significant adjustments may require re-examination under the Job Evalu</w:t>
            </w:r>
            <w:r>
              <w:rPr>
                <w:sz w:val="20"/>
              </w:rPr>
              <w:t xml:space="preserve">ation scheme and shall be discussed in the first instance with the Job Holder </w:t>
            </w:r>
          </w:p>
        </w:tc>
      </w:tr>
    </w:tbl>
    <w:p w:rsidR="00FF5AEA" w:rsidRDefault="00224A1B">
      <w:pPr>
        <w:spacing w:after="261"/>
      </w:pPr>
      <w:r>
        <w:rPr>
          <w:sz w:val="20"/>
        </w:rPr>
        <w:t xml:space="preserve"> </w:t>
      </w:r>
    </w:p>
    <w:p w:rsidR="00FF5AEA" w:rsidRDefault="00224A1B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458" w:type="dxa"/>
        <w:tblInd w:w="516" w:type="dxa"/>
        <w:tblCellMar>
          <w:top w:w="55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FF5AEA">
        <w:trPr>
          <w:trHeight w:val="234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lastRenderedPageBreak/>
              <w:t xml:space="preserve">Competencies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325" w:line="240" w:lineRule="auto"/>
              <w:ind w:right="45"/>
              <w:jc w:val="both"/>
            </w:pPr>
            <w:r>
              <w:rPr>
                <w:sz w:val="20"/>
              </w:rPr>
              <w:t>All of the competencies in the National Offender Management Service (NOMS) Competency and Qualities Framework are relevant to this group profile. For the pur</w:t>
            </w:r>
            <w:r>
              <w:rPr>
                <w:sz w:val="20"/>
              </w:rPr>
              <w:t xml:space="preserve">pose of selection the following competencies will be measured: </w:t>
            </w:r>
          </w:p>
          <w:p w:rsidR="00FF5AEA" w:rsidRDefault="00224A1B">
            <w:pPr>
              <w:numPr>
                <w:ilvl w:val="0"/>
                <w:numId w:val="2"/>
              </w:numPr>
              <w:spacing w:after="0"/>
              <w:ind w:hanging="204"/>
            </w:pPr>
            <w:r>
              <w:rPr>
                <w:sz w:val="20"/>
              </w:rPr>
              <w:t xml:space="preserve">4. Leading and Communicating </w:t>
            </w:r>
          </w:p>
          <w:p w:rsidR="00FF5AEA" w:rsidRDefault="00224A1B">
            <w:pPr>
              <w:numPr>
                <w:ilvl w:val="0"/>
                <w:numId w:val="2"/>
              </w:numPr>
              <w:spacing w:after="0"/>
              <w:ind w:hanging="204"/>
            </w:pPr>
            <w:r>
              <w:rPr>
                <w:sz w:val="20"/>
              </w:rPr>
              <w:t xml:space="preserve">5. Collaborating and Partnering </w:t>
            </w:r>
          </w:p>
          <w:p w:rsidR="00FF5AEA" w:rsidRDefault="00224A1B">
            <w:pPr>
              <w:numPr>
                <w:ilvl w:val="0"/>
                <w:numId w:val="2"/>
              </w:numPr>
              <w:spacing w:after="0"/>
              <w:ind w:hanging="204"/>
            </w:pPr>
            <w:r>
              <w:rPr>
                <w:sz w:val="20"/>
              </w:rPr>
              <w:t xml:space="preserve">6. Building Capability for All </w:t>
            </w:r>
          </w:p>
          <w:p w:rsidR="00FF5AEA" w:rsidRDefault="00224A1B">
            <w:pPr>
              <w:numPr>
                <w:ilvl w:val="0"/>
                <w:numId w:val="2"/>
              </w:numPr>
              <w:spacing w:after="0"/>
              <w:ind w:hanging="204"/>
            </w:pPr>
            <w:r>
              <w:rPr>
                <w:sz w:val="20"/>
              </w:rPr>
              <w:t xml:space="preserve">9. Managing a Quality Service </w:t>
            </w:r>
          </w:p>
        </w:tc>
      </w:tr>
      <w:tr w:rsidR="00FF5AEA">
        <w:trPr>
          <w:trHeight w:val="2017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Minimum Eligibility 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numPr>
                <w:ilvl w:val="0"/>
                <w:numId w:val="3"/>
              </w:numPr>
              <w:spacing w:after="0"/>
              <w:ind w:hanging="161"/>
            </w:pPr>
            <w:r>
              <w:rPr>
                <w:sz w:val="20"/>
              </w:rPr>
              <w:t xml:space="preserve">All candidates are subject to security and identity checks prior to taking up post  </w:t>
            </w:r>
          </w:p>
          <w:p w:rsidR="00FF5AEA" w:rsidRDefault="00224A1B">
            <w:pPr>
              <w:spacing w:after="23"/>
              <w:ind w:left="50"/>
            </w:pPr>
            <w:r>
              <w:rPr>
                <w:sz w:val="20"/>
              </w:rPr>
              <w:t xml:space="preserve"> </w:t>
            </w:r>
          </w:p>
          <w:p w:rsidR="00FF5AEA" w:rsidRDefault="00224A1B">
            <w:pPr>
              <w:numPr>
                <w:ilvl w:val="0"/>
                <w:numId w:val="3"/>
              </w:numPr>
              <w:spacing w:after="2" w:line="239" w:lineRule="auto"/>
              <w:ind w:hanging="161"/>
            </w:pPr>
            <w:r>
              <w:rPr>
                <w:sz w:val="20"/>
              </w:rPr>
              <w:t xml:space="preserve">All external candidates are subject to 6 </w:t>
            </w:r>
            <w:proofErr w:type="spellStart"/>
            <w:r>
              <w:rPr>
                <w:sz w:val="20"/>
              </w:rPr>
              <w:t>months probation</w:t>
            </w:r>
            <w:proofErr w:type="spellEnd"/>
            <w:r>
              <w:rPr>
                <w:sz w:val="20"/>
              </w:rPr>
              <w:t xml:space="preserve">.  Internal candidates are subject to probation if they have not already served a probation period within </w:t>
            </w:r>
          </w:p>
          <w:p w:rsidR="00FF5AEA" w:rsidRDefault="00224A1B">
            <w:pPr>
              <w:spacing w:after="0"/>
              <w:ind w:left="238"/>
            </w:pPr>
            <w:r>
              <w:rPr>
                <w:sz w:val="20"/>
              </w:rPr>
              <w:t xml:space="preserve">NOMS </w:t>
            </w:r>
          </w:p>
          <w:p w:rsidR="00FF5AEA" w:rsidRDefault="00224A1B">
            <w:pPr>
              <w:spacing w:after="25"/>
              <w:ind w:left="50"/>
            </w:pPr>
            <w:r>
              <w:rPr>
                <w:sz w:val="20"/>
              </w:rPr>
              <w:t xml:space="preserve"> </w:t>
            </w:r>
          </w:p>
          <w:p w:rsidR="00FF5AEA" w:rsidRDefault="00224A1B">
            <w:pPr>
              <w:numPr>
                <w:ilvl w:val="0"/>
                <w:numId w:val="3"/>
              </w:numPr>
              <w:spacing w:after="0"/>
              <w:ind w:hanging="161"/>
            </w:pPr>
            <w:r>
              <w:rPr>
                <w:sz w:val="20"/>
              </w:rPr>
              <w:t xml:space="preserve">All staff are required to declare whether they are a member of a group or organisation which the Prison Service considers to be racist </w:t>
            </w:r>
          </w:p>
        </w:tc>
      </w:tr>
      <w:tr w:rsidR="00FF5AEA">
        <w:trPr>
          <w:trHeight w:val="1003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Essential Skills/ </w:t>
            </w:r>
          </w:p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Qualifications/ </w:t>
            </w:r>
          </w:p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Accreditation/ </w:t>
            </w:r>
          </w:p>
          <w:p w:rsidR="00FF5AEA" w:rsidRDefault="00224A1B">
            <w:pPr>
              <w:spacing w:after="0"/>
            </w:pPr>
            <w:r>
              <w:rPr>
                <w:b/>
                <w:sz w:val="20"/>
              </w:rPr>
              <w:t xml:space="preserve">Registration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  <w:jc w:val="both"/>
            </w:pPr>
            <w:r>
              <w:rPr>
                <w:sz w:val="20"/>
              </w:rPr>
              <w:t xml:space="preserve">An ability to fulfil all spoken aspects of the role with confidence through the medium of English or (where specified in Wales) Welsh </w:t>
            </w:r>
          </w:p>
        </w:tc>
      </w:tr>
    </w:tbl>
    <w:p w:rsidR="00FF5AEA" w:rsidRDefault="00224A1B">
      <w:pPr>
        <w:spacing w:after="34"/>
      </w:pPr>
      <w:r>
        <w:rPr>
          <w:sz w:val="20"/>
        </w:rPr>
        <w:t xml:space="preserve"> </w:t>
      </w:r>
    </w:p>
    <w:tbl>
      <w:tblPr>
        <w:tblStyle w:val="TableGrid"/>
        <w:tblW w:w="9458" w:type="dxa"/>
        <w:tblInd w:w="516" w:type="dxa"/>
        <w:tblCellMar>
          <w:top w:w="55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868"/>
        <w:gridCol w:w="422"/>
        <w:gridCol w:w="7168"/>
      </w:tblGrid>
      <w:tr w:rsidR="00FF5AEA">
        <w:trPr>
          <w:trHeight w:val="782"/>
        </w:trPr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F5AEA" w:rsidRDefault="00224A1B">
            <w:pPr>
              <w:tabs>
                <w:tab w:val="center" w:pos="898"/>
                <w:tab w:val="center" w:pos="1424"/>
              </w:tabs>
              <w:spacing w:after="0"/>
            </w:pPr>
            <w:r>
              <w:rPr>
                <w:b/>
                <w:sz w:val="20"/>
              </w:rPr>
              <w:t xml:space="preserve">Hours </w:t>
            </w:r>
            <w:r>
              <w:rPr>
                <w:b/>
                <w:sz w:val="20"/>
              </w:rPr>
              <w:tab/>
              <w:t xml:space="preserve">of </w:t>
            </w:r>
            <w:r>
              <w:rPr>
                <w:b/>
                <w:sz w:val="20"/>
              </w:rPr>
              <w:tab/>
              <w:t xml:space="preserve">Work </w:t>
            </w:r>
          </w:p>
          <w:p w:rsidR="00FF5AEA" w:rsidRDefault="00224A1B">
            <w:pPr>
              <w:spacing w:after="0"/>
              <w:ind w:left="108"/>
            </w:pPr>
            <w:r>
              <w:rPr>
                <w:b/>
                <w:sz w:val="20"/>
              </w:rPr>
              <w:t xml:space="preserve">Allowances  </w:t>
            </w:r>
          </w:p>
        </w:tc>
        <w:tc>
          <w:tcPr>
            <w:tcW w:w="4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  <w:jc w:val="both"/>
            </w:pPr>
            <w:r>
              <w:rPr>
                <w:b/>
                <w:sz w:val="20"/>
              </w:rPr>
              <w:t xml:space="preserve">and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AEA" w:rsidRDefault="00224A1B">
            <w:pPr>
              <w:spacing w:after="0"/>
              <w:ind w:left="108"/>
            </w:pPr>
            <w:r>
              <w:rPr>
                <w:sz w:val="20"/>
              </w:rPr>
              <w:t xml:space="preserve">37 hour working week </w:t>
            </w:r>
          </w:p>
        </w:tc>
      </w:tr>
    </w:tbl>
    <w:p w:rsidR="00FF5AEA" w:rsidRDefault="00224A1B">
      <w:pPr>
        <w:spacing w:after="292"/>
      </w:pPr>
      <w:r>
        <w:rPr>
          <w:sz w:val="20"/>
        </w:rPr>
        <w:t xml:space="preserve"> </w:t>
      </w:r>
    </w:p>
    <w:p w:rsidR="00FF5AEA" w:rsidRDefault="00224A1B">
      <w:pPr>
        <w:spacing w:after="259"/>
        <w:ind w:right="435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F5AEA" w:rsidRDefault="00224A1B">
      <w:pPr>
        <w:spacing w:after="259"/>
        <w:ind w:right="435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F5AEA" w:rsidRDefault="00224A1B">
      <w:pPr>
        <w:spacing w:after="256"/>
        <w:ind w:right="435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F5AEA" w:rsidRDefault="00224A1B">
      <w:pPr>
        <w:spacing w:after="264"/>
        <w:ind w:right="4357"/>
        <w:jc w:val="right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F5AEA" w:rsidRDefault="00224A1B">
      <w:pPr>
        <w:spacing w:after="0"/>
        <w:ind w:right="4370"/>
        <w:jc w:val="right"/>
      </w:pPr>
      <w:r>
        <w:rPr>
          <w:b/>
          <w:sz w:val="24"/>
        </w:rPr>
        <w:t xml:space="preserve"> </w:t>
      </w:r>
    </w:p>
    <w:sectPr w:rsidR="00FF5AEA">
      <w:footerReference w:type="even" r:id="rId8"/>
      <w:footerReference w:type="default" r:id="rId9"/>
      <w:footerReference w:type="first" r:id="rId10"/>
      <w:pgSz w:w="11906" w:h="16838"/>
      <w:pgMar w:top="571" w:right="1671" w:bottom="741" w:left="566" w:header="720" w:footer="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A1B">
      <w:pPr>
        <w:spacing w:after="0" w:line="240" w:lineRule="auto"/>
      </w:pPr>
      <w:r>
        <w:separator/>
      </w:r>
    </w:p>
  </w:endnote>
  <w:endnote w:type="continuationSeparator" w:id="0">
    <w:p w:rsidR="00000000" w:rsidRDefault="0022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EA" w:rsidRDefault="00224A1B">
    <w:pPr>
      <w:spacing w:after="0"/>
      <w:ind w:left="817"/>
      <w:jc w:val="center"/>
    </w:pPr>
    <w:r>
      <w:rPr>
        <w:sz w:val="20"/>
      </w:rPr>
      <w:t xml:space="preserve">OR-JES-153-JD-B2 : SSA : Visits Booking _v5.0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EA" w:rsidRDefault="00224A1B">
    <w:pPr>
      <w:spacing w:after="0"/>
      <w:ind w:left="817"/>
      <w:jc w:val="center"/>
    </w:pPr>
    <w:r>
      <w:rPr>
        <w:sz w:val="20"/>
      </w:rPr>
      <w:t xml:space="preserve">OR-JES-153-JD-B2 : SSA : Visits Booking _v5.0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EA" w:rsidRDefault="00224A1B">
    <w:pPr>
      <w:spacing w:after="0"/>
      <w:ind w:left="817"/>
      <w:jc w:val="center"/>
    </w:pPr>
    <w:r>
      <w:rPr>
        <w:sz w:val="20"/>
      </w:rPr>
      <w:t xml:space="preserve">OR-JES-153-JD-B2 : SSA : Visits Booking _v5.0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4A1B">
      <w:pPr>
        <w:spacing w:after="0" w:line="240" w:lineRule="auto"/>
      </w:pPr>
      <w:r>
        <w:separator/>
      </w:r>
    </w:p>
  </w:footnote>
  <w:footnote w:type="continuationSeparator" w:id="0">
    <w:p w:rsidR="00000000" w:rsidRDefault="0022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72"/>
    <w:multiLevelType w:val="hybridMultilevel"/>
    <w:tmpl w:val="087E163E"/>
    <w:lvl w:ilvl="0" w:tplc="905A7138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12F628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2D238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0C760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5ADC18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9E41F6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68D26E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A6682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2EF3C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C4CD6"/>
    <w:multiLevelType w:val="hybridMultilevel"/>
    <w:tmpl w:val="C09A56CC"/>
    <w:lvl w:ilvl="0" w:tplc="20CA6546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2B35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6C7E76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2F34A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AEA434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00F56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7EC5FC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DA02AA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C20BC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80190"/>
    <w:multiLevelType w:val="hybridMultilevel"/>
    <w:tmpl w:val="3BE085AA"/>
    <w:lvl w:ilvl="0" w:tplc="705E1F9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635B0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E8E68A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6B602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5EACC2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04D124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6D598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8A200C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09678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A"/>
    <w:rsid w:val="00224A1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65203-71F4-4EF7-B748-B23F1D3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278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502197CB</Template>
  <TotalTime>0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HMPS</dc:creator>
  <cp:keywords/>
  <cp:lastModifiedBy>Sessa, Gail  [HMPS]</cp:lastModifiedBy>
  <cp:revision>2</cp:revision>
  <dcterms:created xsi:type="dcterms:W3CDTF">2019-08-08T11:00:00Z</dcterms:created>
  <dcterms:modified xsi:type="dcterms:W3CDTF">2019-08-08T11:00:00Z</dcterms:modified>
</cp:coreProperties>
</file>